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19" w:rsidRPr="003B4519" w:rsidRDefault="003B4519" w:rsidP="0039793B">
      <w:pPr>
        <w:pStyle w:val="NormalWeb"/>
        <w:spacing w:after="0"/>
        <w:jc w:val="center"/>
        <w:rPr>
          <w:b/>
          <w:bCs/>
        </w:rPr>
      </w:pPr>
      <w:r w:rsidRPr="003B4519">
        <w:rPr>
          <w:b/>
          <w:bCs/>
        </w:rPr>
        <w:t>DIAN</w:t>
      </w:r>
    </w:p>
    <w:p w:rsidR="003B4519" w:rsidRDefault="003B4519" w:rsidP="0039793B">
      <w:pPr>
        <w:pStyle w:val="NormalWeb"/>
        <w:spacing w:after="0"/>
        <w:jc w:val="both"/>
      </w:pPr>
    </w:p>
    <w:p w:rsidR="0039793B" w:rsidRDefault="0039793B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Santa Fe de Bogotá D</w:t>
      </w:r>
      <w:proofErr w:type="gramStart"/>
      <w:r w:rsidRPr="003B4519">
        <w:t>,C</w:t>
      </w:r>
      <w:proofErr w:type="gramEnd"/>
      <w:r w:rsidRPr="003B4519">
        <w:t>., 25 de febrero del 2000</w:t>
      </w:r>
    </w:p>
    <w:p w:rsidR="003B4519" w:rsidRDefault="003B4519" w:rsidP="0039793B">
      <w:pPr>
        <w:pStyle w:val="NormalWeb"/>
        <w:spacing w:after="0"/>
        <w:jc w:val="center"/>
        <w:rPr>
          <w:b/>
          <w:bCs/>
        </w:rPr>
      </w:pPr>
      <w:bookmarkStart w:id="0" w:name="_GoBack"/>
      <w:bookmarkEnd w:id="0"/>
    </w:p>
    <w:p w:rsidR="0039793B" w:rsidRDefault="0039793B" w:rsidP="0039793B">
      <w:pPr>
        <w:pStyle w:val="NormalWeb"/>
        <w:spacing w:after="0"/>
        <w:jc w:val="center"/>
        <w:rPr>
          <w:b/>
          <w:bCs/>
        </w:rPr>
      </w:pPr>
    </w:p>
    <w:p w:rsidR="003B4519" w:rsidRPr="003B4519" w:rsidRDefault="003B4519" w:rsidP="0039793B">
      <w:pPr>
        <w:pStyle w:val="NormalWeb"/>
        <w:spacing w:after="0"/>
        <w:jc w:val="center"/>
        <w:rPr>
          <w:b/>
          <w:bCs/>
        </w:rPr>
      </w:pPr>
      <w:r w:rsidRPr="003B4519">
        <w:rPr>
          <w:b/>
          <w:bCs/>
        </w:rPr>
        <w:t>Concepto 017064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Señora:</w:t>
      </w:r>
    </w:p>
    <w:p w:rsidR="003B4519" w:rsidRPr="003B4519" w:rsidRDefault="003B4519" w:rsidP="0039793B">
      <w:pPr>
        <w:pStyle w:val="NormalWeb"/>
        <w:spacing w:after="0"/>
        <w:jc w:val="both"/>
        <w:rPr>
          <w:b/>
          <w:bCs/>
        </w:rPr>
      </w:pPr>
      <w:r w:rsidRPr="003B4519">
        <w:rPr>
          <w:b/>
          <w:bCs/>
        </w:rPr>
        <w:t>MARITZA DELGADO LOPEZ</w:t>
      </w: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 xml:space="preserve">Conjunto residencial </w:t>
      </w:r>
      <w:proofErr w:type="spellStart"/>
      <w:r w:rsidRPr="003B4519">
        <w:t>Juanoy</w:t>
      </w:r>
      <w:proofErr w:type="spellEnd"/>
      <w:r w:rsidRPr="003B4519">
        <w:t xml:space="preserve"> Apartamento B 3</w:t>
      </w: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San Juan de Pasto</w:t>
      </w:r>
    </w:p>
    <w:p w:rsidR="003B4519" w:rsidRDefault="003B4519" w:rsidP="0039793B">
      <w:pPr>
        <w:pStyle w:val="NormalWeb"/>
        <w:spacing w:after="0"/>
        <w:jc w:val="both"/>
      </w:pPr>
    </w:p>
    <w:p w:rsidR="0039793B" w:rsidRDefault="0039793B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REF: Oficio radicado con el N° 38459 de diciembre 20de 1.999</w:t>
      </w:r>
    </w:p>
    <w:p w:rsidR="003B4519" w:rsidRDefault="003B4519" w:rsidP="0039793B">
      <w:pPr>
        <w:pStyle w:val="NormalWeb"/>
        <w:spacing w:after="0"/>
        <w:jc w:val="both"/>
      </w:pPr>
    </w:p>
    <w:p w:rsidR="0039793B" w:rsidRDefault="0039793B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TEMA: Procedimiento</w:t>
      </w:r>
    </w:p>
    <w:p w:rsidR="003B4519" w:rsidRDefault="003B4519" w:rsidP="0039793B">
      <w:pPr>
        <w:pStyle w:val="NormalWeb"/>
        <w:spacing w:after="0"/>
        <w:jc w:val="both"/>
      </w:pPr>
    </w:p>
    <w:p w:rsidR="0039793B" w:rsidRDefault="0039793B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  <w:rPr>
          <w:b/>
        </w:rPr>
      </w:pPr>
      <w:r w:rsidRPr="003B4519">
        <w:t>SUBTEMA: Devoluciones</w:t>
      </w:r>
      <w:r>
        <w:t>-</w:t>
      </w:r>
      <w:r w:rsidRPr="003B4519">
        <w:t xml:space="preserve"> </w:t>
      </w:r>
      <w:r w:rsidRPr="003B4519">
        <w:rPr>
          <w:b/>
        </w:rPr>
        <w:t>Obligatoriedad de los conceptos</w:t>
      </w:r>
    </w:p>
    <w:p w:rsidR="003B4519" w:rsidRDefault="003B4519" w:rsidP="0039793B">
      <w:pPr>
        <w:pStyle w:val="NormalWeb"/>
        <w:spacing w:after="0"/>
        <w:jc w:val="both"/>
      </w:pPr>
    </w:p>
    <w:p w:rsidR="0039793B" w:rsidRDefault="0039793B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De conformidad con el artículo 11 del decreto 1265 de 1.999 y el artículo 10 de la resolución 156 del mismo año la oficina es competente para absolver en forma general las consultas que se formulen en relación con la interpretación y aplicación general de las normas tributarias nacionales en lo de competencia de la entidad.</w:t>
      </w:r>
    </w:p>
    <w:p w:rsidR="003B4519" w:rsidRDefault="003B4519" w:rsidP="0039793B">
      <w:pPr>
        <w:pStyle w:val="NormalWeb"/>
        <w:spacing w:after="0"/>
        <w:jc w:val="both"/>
        <w:rPr>
          <w:b/>
          <w:bCs/>
        </w:rPr>
      </w:pPr>
    </w:p>
    <w:p w:rsidR="0039793B" w:rsidRDefault="0039793B" w:rsidP="0039793B">
      <w:pPr>
        <w:pStyle w:val="NormalWeb"/>
        <w:spacing w:after="0"/>
        <w:jc w:val="both"/>
        <w:rPr>
          <w:b/>
          <w:bCs/>
        </w:rPr>
      </w:pPr>
    </w:p>
    <w:p w:rsidR="003B4519" w:rsidRPr="003B4519" w:rsidRDefault="003B4519" w:rsidP="0039793B">
      <w:pPr>
        <w:pStyle w:val="NormalWeb"/>
        <w:spacing w:after="0"/>
        <w:jc w:val="both"/>
        <w:rPr>
          <w:b/>
          <w:bCs/>
        </w:rPr>
      </w:pPr>
      <w:r w:rsidRPr="003B4519">
        <w:rPr>
          <w:b/>
          <w:bCs/>
        </w:rPr>
        <w:t>PROBLEMA JURIDICO:</w:t>
      </w:r>
    </w:p>
    <w:p w:rsidR="003B4519" w:rsidRDefault="003B4519" w:rsidP="0039793B">
      <w:pPr>
        <w:pStyle w:val="NormalWeb"/>
        <w:spacing w:after="0"/>
        <w:jc w:val="both"/>
        <w:rPr>
          <w:b/>
        </w:rPr>
      </w:pPr>
    </w:p>
    <w:p w:rsidR="0039793B" w:rsidRDefault="0039793B" w:rsidP="0039793B">
      <w:pPr>
        <w:pStyle w:val="NormalWeb"/>
        <w:spacing w:after="0"/>
        <w:jc w:val="both"/>
        <w:rPr>
          <w:b/>
        </w:rPr>
      </w:pPr>
    </w:p>
    <w:p w:rsidR="003B4519" w:rsidRPr="003B4519" w:rsidRDefault="003B4519" w:rsidP="0039793B">
      <w:pPr>
        <w:pStyle w:val="NormalWeb"/>
        <w:spacing w:after="0"/>
        <w:jc w:val="both"/>
        <w:rPr>
          <w:b/>
        </w:rPr>
      </w:pPr>
      <w:r w:rsidRPr="003B4519">
        <w:rPr>
          <w:b/>
        </w:rPr>
        <w:t>Los conceptos emitidos por la División de Doctrina son de obligatorio cump</w:t>
      </w:r>
      <w:r>
        <w:rPr>
          <w:b/>
        </w:rPr>
        <w:t>limiento para los particulares</w:t>
      </w:r>
      <w:proofErr w:type="gramStart"/>
      <w:r>
        <w:rPr>
          <w:b/>
        </w:rPr>
        <w:t>?</w:t>
      </w:r>
      <w:r w:rsidRPr="003B4519">
        <w:rPr>
          <w:b/>
        </w:rPr>
        <w:t>.</w:t>
      </w:r>
      <w:proofErr w:type="gramEnd"/>
    </w:p>
    <w:p w:rsidR="003B4519" w:rsidRDefault="003B4519" w:rsidP="0039793B">
      <w:pPr>
        <w:pStyle w:val="NormalWeb"/>
        <w:spacing w:after="0"/>
        <w:jc w:val="both"/>
        <w:rPr>
          <w:b/>
        </w:rPr>
      </w:pPr>
    </w:p>
    <w:p w:rsidR="0039793B" w:rsidRDefault="0039793B" w:rsidP="0039793B">
      <w:pPr>
        <w:pStyle w:val="NormalWeb"/>
        <w:spacing w:after="0"/>
        <w:jc w:val="both"/>
        <w:rPr>
          <w:b/>
        </w:rPr>
      </w:pPr>
    </w:p>
    <w:p w:rsidR="003B4519" w:rsidRPr="003B4519" w:rsidRDefault="003B4519" w:rsidP="0039793B">
      <w:pPr>
        <w:pStyle w:val="NormalWeb"/>
        <w:spacing w:after="0"/>
        <w:jc w:val="both"/>
        <w:rPr>
          <w:b/>
        </w:rPr>
      </w:pPr>
      <w:r w:rsidRPr="003B4519">
        <w:rPr>
          <w:b/>
        </w:rPr>
        <w:t>TESIS JURIDICA:</w:t>
      </w:r>
    </w:p>
    <w:p w:rsidR="003B4519" w:rsidRDefault="003B4519" w:rsidP="0039793B">
      <w:pPr>
        <w:pStyle w:val="NormalWeb"/>
        <w:spacing w:after="0"/>
        <w:jc w:val="both"/>
      </w:pPr>
    </w:p>
    <w:p w:rsidR="0039793B" w:rsidRDefault="0039793B" w:rsidP="0039793B">
      <w:pPr>
        <w:pStyle w:val="NormalWeb"/>
        <w:spacing w:after="0"/>
        <w:jc w:val="both"/>
      </w:pPr>
    </w:p>
    <w:p w:rsidR="003B4519" w:rsidRPr="00D566B0" w:rsidRDefault="003B4519" w:rsidP="0039793B">
      <w:pPr>
        <w:pStyle w:val="NormalWeb"/>
        <w:spacing w:after="0"/>
        <w:jc w:val="both"/>
        <w:rPr>
          <w:b/>
          <w:u w:val="single"/>
        </w:rPr>
      </w:pPr>
      <w:r w:rsidRPr="003B4519">
        <w:t xml:space="preserve">Los conceptos emitidos por la División de Doctrina no son de obligatorio cumplimiento para los particulares, pero constituyen la interpretación oficial para los funcionarios de la Dirección de Impuestos y Aduanas Nacionales cuando han sido publicados, </w:t>
      </w:r>
      <w:r w:rsidRPr="00D566B0">
        <w:rPr>
          <w:b/>
          <w:u w:val="single"/>
        </w:rPr>
        <w:t>y su desconocimiento puede acarrear sanción disciplinaria.</w:t>
      </w:r>
    </w:p>
    <w:p w:rsidR="003B4519" w:rsidRDefault="003B4519" w:rsidP="0039793B">
      <w:pPr>
        <w:pStyle w:val="NormalWeb"/>
        <w:spacing w:after="0"/>
        <w:jc w:val="both"/>
        <w:rPr>
          <w:b/>
        </w:rPr>
      </w:pPr>
    </w:p>
    <w:p w:rsidR="0039793B" w:rsidRDefault="0039793B" w:rsidP="0039793B">
      <w:pPr>
        <w:pStyle w:val="NormalWeb"/>
        <w:spacing w:after="0"/>
        <w:jc w:val="both"/>
        <w:rPr>
          <w:b/>
        </w:rPr>
      </w:pPr>
    </w:p>
    <w:p w:rsidR="003B4519" w:rsidRPr="003B4519" w:rsidRDefault="003B4519" w:rsidP="0039793B">
      <w:pPr>
        <w:pStyle w:val="NormalWeb"/>
        <w:spacing w:after="0"/>
        <w:jc w:val="both"/>
        <w:rPr>
          <w:b/>
        </w:rPr>
      </w:pPr>
      <w:r w:rsidRPr="003B4519">
        <w:rPr>
          <w:b/>
        </w:rPr>
        <w:t>INTERPRETACIÓN JURIDICA: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721619" w:rsidRDefault="003B4519" w:rsidP="0039793B">
      <w:pPr>
        <w:pStyle w:val="NormalWeb"/>
        <w:spacing w:after="0"/>
        <w:jc w:val="both"/>
        <w:rPr>
          <w:b/>
        </w:rPr>
      </w:pPr>
      <w:r w:rsidRPr="00721619">
        <w:rPr>
          <w:b/>
          <w:u w:val="single"/>
        </w:rPr>
        <w:lastRenderedPageBreak/>
        <w:t>El artículo 264 de la ley 223 de 1.995</w:t>
      </w:r>
      <w:r w:rsidRPr="00721619">
        <w:rPr>
          <w:u w:val="single"/>
        </w:rPr>
        <w:t xml:space="preserve"> </w:t>
      </w:r>
      <w:r w:rsidRPr="00721619">
        <w:rPr>
          <w:b/>
        </w:rPr>
        <w:t xml:space="preserve">al respecto dispone que los contribuyentes que actúen con base en conceptos escritos de la Subdirección Jurídica de la Dirección de Impuestos, </w:t>
      </w:r>
      <w:proofErr w:type="gramStart"/>
      <w:r w:rsidRPr="00721619">
        <w:rPr>
          <w:b/>
        </w:rPr>
        <w:t>podrán</w:t>
      </w:r>
      <w:proofErr w:type="gramEnd"/>
      <w:r w:rsidRPr="00721619">
        <w:rPr>
          <w:b/>
        </w:rPr>
        <w:t xml:space="preserve"> sustentar sus actuaciones en la vía gubernativa y en la jurisdiccional con base en ellos siempre que estén vigentes. Cuando la Dirección de Impuestos cambie la posición asumida en un concepto deberá publicarlo.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  <w:rPr>
          <w:b/>
        </w:rPr>
      </w:pPr>
      <w:r w:rsidRPr="003B4519">
        <w:t xml:space="preserve">Por otra parte, el parágrafo del artículo 13 del decreto 1725 de 1.997, señala que los conceptos sobre interpretación y aplicación de las normas tributarias, que sean publicadas, constituyen interpretación oficial para los funcionarios de la Dirección de Impuestos y Aduanas Nacionales, de obligatorio cumplimiento </w:t>
      </w:r>
      <w:r w:rsidRPr="003B4519">
        <w:rPr>
          <w:b/>
        </w:rPr>
        <w:t>y su desconocimiento puede acarrear sanción disciplinaria.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 xml:space="preserve">Sobre el tema se pronunció el Despacho en el concepto N° 80073 de octubre 13 de 1.998 octubre </w:t>
      </w:r>
      <w:r>
        <w:t xml:space="preserve"> como </w:t>
      </w:r>
      <w:r w:rsidRPr="003B4519">
        <w:t>sigue: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"Debe tenerse en cuenta que la única interpretación que es de carácter obligatorio es la que nace de la ley, (art. 25 del Código Civil), luego la interpretación que po</w:t>
      </w:r>
      <w:r>
        <w:t>r vía general se hace de la ley</w:t>
      </w:r>
      <w:r w:rsidRPr="003B4519">
        <w:t xml:space="preserve"> solo sirve de base para orientar a los funcionarios y particulares.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 xml:space="preserve">Así mismo, el artículo 264 de la ley 223 de </w:t>
      </w:r>
      <w:r>
        <w:t>1995</w:t>
      </w:r>
      <w:r w:rsidRPr="003B4519">
        <w:t xml:space="preserve"> señala que los conceptos en los cuales los contribuyentes sustenten sus actuaciones en la vía gubernativa y jurisdicción, no podrán ser desconocidos por las autoridades tributarias, salvo cuando la DIAN cambie su interpretación normativa mediante otro concepto el cual deberá ser ubicado.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El artículo 1 del decreto 1725 de 1997, establece que los conceptos emitidos y que sean publicados constituyen interpretación oficial por tanto de obligatoria observancia por parte de los funcionarios.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D566B0" w:rsidRDefault="003B4519" w:rsidP="0039793B">
      <w:pPr>
        <w:pStyle w:val="NormalWeb"/>
        <w:spacing w:after="0"/>
        <w:jc w:val="both"/>
        <w:rPr>
          <w:b/>
          <w:u w:val="single"/>
        </w:rPr>
      </w:pPr>
      <w:r w:rsidRPr="003B4519">
        <w:t xml:space="preserve">En consecuencia, no existe obligación por parte de los particulares de dar cumplimiento a los conceptos emitidos por esta oficina, </w:t>
      </w:r>
      <w:r w:rsidRPr="00D566B0">
        <w:rPr>
          <w:b/>
          <w:u w:val="single"/>
        </w:rPr>
        <w:t>como sí existe para los funcionarios de la Dirección de Impuestos y Aduanas Nacionales, cuando el mismo ha sido publicado; de conformidad con las normas antes mencionadas"</w:t>
      </w:r>
    </w:p>
    <w:p w:rsidR="003B4519" w:rsidRPr="00D566B0" w:rsidRDefault="003B4519" w:rsidP="0039793B">
      <w:pPr>
        <w:pStyle w:val="NormalWeb"/>
        <w:spacing w:after="0"/>
        <w:jc w:val="both"/>
        <w:rPr>
          <w:u w:val="single"/>
        </w:rPr>
      </w:pPr>
    </w:p>
    <w:p w:rsidR="003B4519" w:rsidRDefault="003B4519" w:rsidP="0039793B">
      <w:pPr>
        <w:pStyle w:val="NormalWeb"/>
        <w:spacing w:after="0"/>
        <w:jc w:val="both"/>
      </w:pPr>
      <w:r>
        <w:t>(……)</w:t>
      </w:r>
    </w:p>
    <w:p w:rsidR="003B4519" w:rsidRDefault="003B4519" w:rsidP="0039793B">
      <w:pPr>
        <w:pStyle w:val="NormalWeb"/>
        <w:spacing w:after="0"/>
        <w:jc w:val="both"/>
      </w:pP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Cordialmente,</w:t>
      </w:r>
    </w:p>
    <w:p w:rsidR="003B4519" w:rsidRPr="003B4519" w:rsidRDefault="003B4519" w:rsidP="0039793B">
      <w:pPr>
        <w:pStyle w:val="NormalWeb"/>
        <w:spacing w:after="0"/>
        <w:jc w:val="both"/>
      </w:pPr>
      <w:r w:rsidRPr="003B4519">
        <w:t>YOLANDA GRANADOS PICON</w:t>
      </w:r>
    </w:p>
    <w:p w:rsidR="003B4519" w:rsidRDefault="003B4519" w:rsidP="0039793B">
      <w:pPr>
        <w:pStyle w:val="NormalWeb"/>
        <w:spacing w:after="0"/>
        <w:jc w:val="both"/>
      </w:pPr>
      <w:r w:rsidRPr="003B4519">
        <w:t>Jefe División de Normativa y Doctrina</w:t>
      </w:r>
    </w:p>
    <w:p w:rsidR="00721619" w:rsidRDefault="00721619" w:rsidP="0039793B">
      <w:pPr>
        <w:pStyle w:val="NormalWeb"/>
        <w:spacing w:after="0"/>
        <w:jc w:val="both"/>
      </w:pPr>
      <w:r>
        <w:t xml:space="preserve">(La negrilla y subrayas fuera de texto). </w:t>
      </w:r>
    </w:p>
    <w:p w:rsidR="00DF5683" w:rsidRPr="003B4519" w:rsidRDefault="003B4519" w:rsidP="0039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32488" w:rsidRPr="003B4519" w:rsidRDefault="0003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488" w:rsidRPr="003B4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19"/>
    <w:rsid w:val="00032488"/>
    <w:rsid w:val="0039793B"/>
    <w:rsid w:val="003B4519"/>
    <w:rsid w:val="00721619"/>
    <w:rsid w:val="00D566B0"/>
    <w:rsid w:val="00D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519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519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5</cp:revision>
  <dcterms:created xsi:type="dcterms:W3CDTF">2013-07-30T02:54:00Z</dcterms:created>
  <dcterms:modified xsi:type="dcterms:W3CDTF">2013-12-08T17:40:00Z</dcterms:modified>
</cp:coreProperties>
</file>